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FD0" w:rsidTr="00EE2FD0">
        <w:tc>
          <w:tcPr>
            <w:tcW w:w="4785" w:type="dxa"/>
          </w:tcPr>
          <w:p w:rsidR="00EE2FD0" w:rsidRPr="007A2D9A" w:rsidRDefault="00EE2FD0" w:rsidP="00EE2FD0">
            <w:pPr>
              <w:pStyle w:val="af2"/>
              <w:shd w:val="clear" w:color="auto" w:fill="FFFFFF"/>
              <w:rPr>
                <w:rStyle w:val="ac"/>
                <w:b w:val="0"/>
              </w:rPr>
            </w:pPr>
            <w:r w:rsidRPr="007A2D9A">
              <w:rPr>
                <w:rStyle w:val="ac"/>
                <w:b w:val="0"/>
              </w:rPr>
              <w:t xml:space="preserve">Рассмотрено на заседании </w:t>
            </w:r>
            <w:r>
              <w:rPr>
                <w:rStyle w:val="ac"/>
                <w:b w:val="0"/>
              </w:rPr>
              <w:br/>
            </w:r>
            <w:r w:rsidRPr="007A2D9A">
              <w:rPr>
                <w:rStyle w:val="ac"/>
                <w:b w:val="0"/>
              </w:rPr>
              <w:t>педагогического совета</w:t>
            </w:r>
            <w:r w:rsidRPr="007A2D9A">
              <w:rPr>
                <w:rStyle w:val="ac"/>
                <w:b w:val="0"/>
              </w:rPr>
              <w:br/>
              <w:t>23.03.2020 протокол № 5</w:t>
            </w:r>
          </w:p>
          <w:p w:rsidR="00EE2FD0" w:rsidRDefault="00EE2FD0" w:rsidP="00EE2FD0">
            <w:pPr>
              <w:pStyle w:val="af2"/>
              <w:rPr>
                <w:rStyle w:val="ac"/>
                <w:b w:val="0"/>
              </w:rPr>
            </w:pPr>
          </w:p>
        </w:tc>
        <w:tc>
          <w:tcPr>
            <w:tcW w:w="4786" w:type="dxa"/>
          </w:tcPr>
          <w:p w:rsidR="00EE2FD0" w:rsidRDefault="00EE2FD0" w:rsidP="00EE2FD0">
            <w:pPr>
              <w:pStyle w:val="af2"/>
              <w:ind w:left="1736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 xml:space="preserve">Утверждено приказом от </w:t>
            </w:r>
            <w:r w:rsidR="001979C8">
              <w:rPr>
                <w:rStyle w:val="ac"/>
                <w:b w:val="0"/>
              </w:rPr>
              <w:t>08.05.2020 №47-О</w:t>
            </w:r>
            <w:bookmarkStart w:id="0" w:name="_GoBack"/>
            <w:bookmarkEnd w:id="0"/>
          </w:p>
        </w:tc>
      </w:tr>
    </w:tbl>
    <w:p w:rsidR="00EE2FD0" w:rsidRDefault="00EE2FD0" w:rsidP="00EE2FD0">
      <w:pPr>
        <w:pStyle w:val="af2"/>
        <w:shd w:val="clear" w:color="auto" w:fill="FFFFFF"/>
        <w:rPr>
          <w:rStyle w:val="ac"/>
          <w:b w:val="0"/>
        </w:rPr>
      </w:pPr>
    </w:p>
    <w:p w:rsidR="007A2D9A" w:rsidRP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P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P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7A2D9A" w:rsidRPr="007A2D9A" w:rsidRDefault="007A2D9A" w:rsidP="0056184F">
      <w:pPr>
        <w:shd w:val="clear" w:color="auto" w:fill="FFFFFF"/>
        <w:spacing w:before="75" w:after="225"/>
        <w:jc w:val="center"/>
        <w:rPr>
          <w:szCs w:val="24"/>
        </w:rPr>
      </w:pPr>
    </w:p>
    <w:p w:rsidR="0056184F" w:rsidRDefault="0056184F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  <w:r w:rsidRPr="007A2D9A">
        <w:rPr>
          <w:sz w:val="32"/>
          <w:szCs w:val="32"/>
        </w:rPr>
        <w:t xml:space="preserve">Положение о порядке организации и прохождения </w:t>
      </w:r>
      <w:r w:rsidR="007A2D9A">
        <w:rPr>
          <w:sz w:val="32"/>
          <w:szCs w:val="32"/>
        </w:rPr>
        <w:br/>
      </w:r>
      <w:r w:rsidRPr="007A2D9A">
        <w:rPr>
          <w:sz w:val="32"/>
          <w:szCs w:val="32"/>
        </w:rPr>
        <w:t xml:space="preserve">промежуточной и итоговой аттестации для лиц, </w:t>
      </w:r>
      <w:r w:rsidR="007A2D9A">
        <w:rPr>
          <w:sz w:val="32"/>
          <w:szCs w:val="32"/>
        </w:rPr>
        <w:br/>
      </w:r>
      <w:r w:rsidRPr="007A2D9A">
        <w:rPr>
          <w:sz w:val="32"/>
          <w:szCs w:val="32"/>
        </w:rPr>
        <w:t xml:space="preserve">осваивающих образовательные программы </w:t>
      </w:r>
      <w:r w:rsidR="007A2D9A">
        <w:rPr>
          <w:sz w:val="32"/>
          <w:szCs w:val="32"/>
        </w:rPr>
        <w:br/>
      </w:r>
      <w:r w:rsidRPr="007A2D9A">
        <w:rPr>
          <w:sz w:val="32"/>
          <w:szCs w:val="32"/>
        </w:rPr>
        <w:t xml:space="preserve">в форме семейного образования и самообразования </w:t>
      </w:r>
      <w:r w:rsidR="007A2D9A">
        <w:rPr>
          <w:sz w:val="32"/>
          <w:szCs w:val="32"/>
        </w:rPr>
        <w:br/>
      </w:r>
      <w:r w:rsidRPr="007A2D9A">
        <w:rPr>
          <w:sz w:val="32"/>
          <w:szCs w:val="32"/>
        </w:rPr>
        <w:t>МАОУ СОШ №18</w:t>
      </w: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Default="007A2D9A" w:rsidP="0056184F">
      <w:pPr>
        <w:shd w:val="clear" w:color="auto" w:fill="FFFFFF"/>
        <w:spacing w:before="75" w:after="225"/>
        <w:jc w:val="center"/>
        <w:rPr>
          <w:sz w:val="32"/>
          <w:szCs w:val="32"/>
        </w:rPr>
      </w:pPr>
    </w:p>
    <w:p w:rsidR="007A2D9A" w:rsidRPr="007A2D9A" w:rsidRDefault="007A2D9A" w:rsidP="007A2D9A">
      <w:pPr>
        <w:shd w:val="clear" w:color="auto" w:fill="FFFFFF"/>
        <w:spacing w:before="75" w:after="225"/>
        <w:jc w:val="center"/>
        <w:rPr>
          <w:b/>
          <w:sz w:val="28"/>
          <w:szCs w:val="28"/>
        </w:rPr>
      </w:pPr>
      <w:r w:rsidRPr="007A2D9A">
        <w:rPr>
          <w:b/>
          <w:sz w:val="28"/>
          <w:szCs w:val="28"/>
        </w:rPr>
        <w:t>ПОЛОЖЕНИЕ</w:t>
      </w:r>
      <w:r w:rsidRPr="007A2D9A">
        <w:rPr>
          <w:b/>
          <w:sz w:val="28"/>
          <w:szCs w:val="28"/>
        </w:rPr>
        <w:br/>
        <w:t xml:space="preserve">о порядке организации и прохождения промежуточной и итоговой аттестации для лиц, осваивающих образовательные программы </w:t>
      </w:r>
      <w:r w:rsidRPr="007A2D9A">
        <w:rPr>
          <w:b/>
          <w:sz w:val="28"/>
          <w:szCs w:val="28"/>
        </w:rPr>
        <w:br/>
        <w:t xml:space="preserve">в форме семейного образования и самообразования </w:t>
      </w:r>
      <w:r w:rsidRPr="007A2D9A">
        <w:rPr>
          <w:b/>
          <w:sz w:val="28"/>
          <w:szCs w:val="28"/>
        </w:rPr>
        <w:br/>
        <w:t>МАОУ СОШ №18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1.Общие положения.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1.1. Настоящее положение является локальным нормативным правовым актом, регламентирующим деятельность МБОУ СШ № 98 (далее - Школа) и разработано в соответствии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>:</w:t>
      </w:r>
    </w:p>
    <w:p w:rsidR="0056184F" w:rsidRPr="007A2D9A" w:rsidRDefault="0056184F" w:rsidP="007A2D9A">
      <w:pPr>
        <w:pStyle w:val="ae"/>
        <w:numPr>
          <w:ilvl w:val="0"/>
          <w:numId w:val="21"/>
        </w:num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7A2D9A">
        <w:rPr>
          <w:rFonts w:eastAsia="Times New Roman"/>
          <w:color w:val="000000"/>
          <w:szCs w:val="24"/>
          <w:lang w:eastAsia="ru-RU"/>
        </w:rPr>
        <w:t>Законом Российской Федерации от 29.12.2012 № 273-ФЭ «Об образовании в Российской Федерации»</w:t>
      </w:r>
    </w:p>
    <w:p w:rsidR="0056184F" w:rsidRPr="007A2D9A" w:rsidRDefault="0056184F" w:rsidP="007A2D9A">
      <w:pPr>
        <w:pStyle w:val="ae"/>
        <w:numPr>
          <w:ilvl w:val="0"/>
          <w:numId w:val="21"/>
        </w:num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7A2D9A">
        <w:rPr>
          <w:rFonts w:eastAsia="Times New Roman"/>
          <w:color w:val="000000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1015.</w:t>
      </w:r>
    </w:p>
    <w:p w:rsidR="007A2D9A" w:rsidRPr="007A2D9A" w:rsidRDefault="007A2D9A" w:rsidP="007A2D9A">
      <w:pPr>
        <w:numPr>
          <w:ilvl w:val="0"/>
          <w:numId w:val="21"/>
        </w:numPr>
        <w:shd w:val="clear" w:color="auto" w:fill="FFFFFF"/>
        <w:spacing w:after="255" w:line="300" w:lineRule="atLeast"/>
        <w:jc w:val="left"/>
        <w:outlineLvl w:val="1"/>
        <w:rPr>
          <w:rFonts w:eastAsia="Times New Roman"/>
          <w:bCs/>
          <w:szCs w:val="24"/>
          <w:lang w:eastAsia="ru-RU"/>
        </w:rPr>
      </w:pPr>
      <w:r w:rsidRPr="007A2D9A">
        <w:rPr>
          <w:rFonts w:eastAsia="Times New Roman"/>
          <w:bCs/>
          <w:szCs w:val="24"/>
          <w:lang w:eastAsia="ru-RU"/>
        </w:rPr>
        <w:t>Письм</w:t>
      </w:r>
      <w:r>
        <w:rPr>
          <w:rFonts w:eastAsia="Times New Roman"/>
          <w:bCs/>
          <w:szCs w:val="24"/>
          <w:lang w:eastAsia="ru-RU"/>
        </w:rPr>
        <w:t>а</w:t>
      </w:r>
      <w:r w:rsidRPr="007A2D9A">
        <w:rPr>
          <w:rFonts w:eastAsia="Times New Roman"/>
          <w:bCs/>
          <w:szCs w:val="24"/>
          <w:lang w:eastAsia="ru-RU"/>
        </w:rPr>
        <w:t xml:space="preserve"> Министерства образования и науки РФ от 15 ноября 2013 г. № НТ-1139/08 “Об организации получения образования в семейной форме”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1.2.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1.3. Промежуточная аттестация - это оценочная процедура, направленная на определение уровня освоения образовательной программы учебного предмета.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1.4. Итоговая аттестация представляет собой форму оценки степени и уровня освоения обучающимися образовательной программы. Итоговая аттестация проводится на основе принципов объективности и независимости оценки качества подготовки обучающихся. 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образовательной организацией, если иное не установлено Федеральным законом.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1.5. Настоящее положение определяет порядок проведения промежуточной и итоговой аттестации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>, получающих общее образование в форме семейного образования, самообразования. Лица, зачисленные в Школу   для прохождения промежуточной и государственной итоговой аттестации, являются экстернами.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1.6.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lastRenderedPageBreak/>
        <w:t>1.7. Школа  принимает обучающегося для прохождения промежуточной аттестации, государственной итоговой аттестации на основании заявления родителей (законных представителей) и приказа директора о приеме лица для прохождения промежуточной аттестации, государственной итоговой аттестации. В заявлении родители (законные представители) указывают объем изученного материала по учебным предметам, курсам, дисциплинам образовательной программы.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1.8. Настоящее Положение принимается педагогическим советом Школы и утверждается приказом директора.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1.9. Настоящее Положение принимается на неопределенный срок. Изменения и дополнения принимаются в составе новой редакции Положения педагогическим советом Школы и утверждаются приказом директора.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1.10. Не допускается взимание платы с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 xml:space="preserve"> за прохождение промежуточной и итоговой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2. Цели промежуточной и итоговой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2.1. Установление фактического уровня теоретических знаний, умений и навыков, обучающихся по предметам инвариантной части учебного плана и соотнесение этого уровня требованиям федерального государственного образовательного стандарта и государственного образовательного стандарта.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2.2. Государственная итоговая аттестация проводится государственными экзаменационными комиссиями для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2.3. Принятие решения о переводе в следующий класс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 xml:space="preserve"> в форме семейного образования, самообразования.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2.4. Принятие решения о допуске лиц, освоившие основные общеобразовательные программы - образовательные программы основного общего и среднего общего образования в форме семейного образования и самообразования к государственной итоговой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3. Формы проведения промежуточной и итоговой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3.1. Формами промежуточной аттестации для установления фактического уровня теоретических знаний, умений и навыков, обучающихся по предметам инвариантной части учебного плана, являются: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3.1.1.</w:t>
      </w:r>
    </w:p>
    <w:tbl>
      <w:tblPr>
        <w:tblStyle w:val="af3"/>
        <w:tblW w:w="0" w:type="auto"/>
        <w:jc w:val="center"/>
        <w:tblInd w:w="1299" w:type="dxa"/>
        <w:tblLook w:val="04A0" w:firstRow="1" w:lastRow="0" w:firstColumn="1" w:lastColumn="0" w:noHBand="0" w:noVBand="1"/>
      </w:tblPr>
      <w:tblGrid>
        <w:gridCol w:w="2410"/>
        <w:gridCol w:w="2268"/>
        <w:gridCol w:w="3408"/>
      </w:tblGrid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340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3408" w:type="dxa"/>
            <w:vMerge w:val="restar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 xml:space="preserve">комплексная контрольная </w:t>
            </w: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работа</w:t>
            </w: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3408" w:type="dxa"/>
            <w:vMerge/>
            <w:hideMark/>
          </w:tcPr>
          <w:p w:rsidR="0056184F" w:rsidRPr="0056184F" w:rsidRDefault="0056184F" w:rsidP="0056184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3408" w:type="dxa"/>
            <w:vMerge/>
            <w:hideMark/>
          </w:tcPr>
          <w:p w:rsidR="0056184F" w:rsidRPr="0056184F" w:rsidRDefault="0056184F" w:rsidP="0056184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3408" w:type="dxa"/>
            <w:vMerge/>
            <w:hideMark/>
          </w:tcPr>
          <w:p w:rsidR="0056184F" w:rsidRPr="0056184F" w:rsidRDefault="0056184F" w:rsidP="0056184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2-4</w:t>
            </w:r>
          </w:p>
        </w:tc>
        <w:tc>
          <w:tcPr>
            <w:tcW w:w="340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 xml:space="preserve">Комплексная контрольная работа: </w:t>
            </w:r>
            <w:proofErr w:type="spellStart"/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, письмо, чтение</w:t>
            </w: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340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340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340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</w:tr>
      <w:tr w:rsidR="00A14B64" w:rsidRPr="0056184F" w:rsidTr="00A14B64">
        <w:trPr>
          <w:jc w:val="center"/>
        </w:trPr>
        <w:tc>
          <w:tcPr>
            <w:tcW w:w="2410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1-4</w:t>
            </w:r>
          </w:p>
        </w:tc>
        <w:tc>
          <w:tcPr>
            <w:tcW w:w="3408" w:type="dxa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Нормативы/теоретические основы</w:t>
            </w:r>
          </w:p>
        </w:tc>
      </w:tr>
    </w:tbl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3.1.2. для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 xml:space="preserve"> по программам основного общего образования</w:t>
      </w:r>
    </w:p>
    <w:tbl>
      <w:tblPr>
        <w:tblStyle w:val="af3"/>
        <w:tblW w:w="8177" w:type="dxa"/>
        <w:jc w:val="center"/>
        <w:tblInd w:w="-300" w:type="dxa"/>
        <w:tblLook w:val="04A0" w:firstRow="1" w:lastRow="0" w:firstColumn="1" w:lastColumn="0" w:noHBand="0" w:noVBand="1"/>
      </w:tblPr>
      <w:tblGrid>
        <w:gridCol w:w="2530"/>
        <w:gridCol w:w="2191"/>
        <w:gridCol w:w="3456"/>
      </w:tblGrid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5-7 класс диктант с грамматическим заданием 8-9 класс изложение, сочинение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Сочинение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 xml:space="preserve">Комплексная контрольная работа: </w:t>
            </w:r>
            <w:proofErr w:type="spellStart"/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, письмо, чтение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Контрольная работа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Контрольная работа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6-9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6-9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тест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6-9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тест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7-9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тест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8-9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тест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Природоведение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тест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5-8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Нормативы/теоретические основы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8-9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тест</w:t>
            </w:r>
          </w:p>
        </w:tc>
      </w:tr>
      <w:tr w:rsidR="00A14B64" w:rsidRPr="0056184F" w:rsidTr="00B55C82">
        <w:trPr>
          <w:jc w:val="center"/>
        </w:trPr>
        <w:tc>
          <w:tcPr>
            <w:tcW w:w="1547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1340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8-9</w:t>
            </w:r>
          </w:p>
        </w:tc>
        <w:tc>
          <w:tcPr>
            <w:tcW w:w="2113" w:type="pct"/>
            <w:hideMark/>
          </w:tcPr>
          <w:p w:rsidR="0056184F" w:rsidRPr="0056184F" w:rsidRDefault="0056184F" w:rsidP="0056184F">
            <w:pPr>
              <w:spacing w:before="75" w:after="22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Контрольная работа</w:t>
            </w:r>
          </w:p>
        </w:tc>
      </w:tr>
    </w:tbl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3.1.3. для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 xml:space="preserve"> по программам среднего общего образования:</w:t>
      </w:r>
    </w:p>
    <w:tbl>
      <w:tblPr>
        <w:tblStyle w:val="af3"/>
        <w:tblW w:w="8136" w:type="dxa"/>
        <w:jc w:val="center"/>
        <w:tblInd w:w="-518" w:type="dxa"/>
        <w:tblLook w:val="04A0" w:firstRow="1" w:lastRow="0" w:firstColumn="1" w:lastColumn="0" w:noHBand="0" w:noVBand="1"/>
      </w:tblPr>
      <w:tblGrid>
        <w:gridCol w:w="2466"/>
        <w:gridCol w:w="2126"/>
        <w:gridCol w:w="3544"/>
      </w:tblGrid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Изложение, зачет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сочинение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Беседа, зачет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Контрольная работа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Контрольная работа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зачет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зачет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зачет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зачет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Нормативы/теоретические основы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Практическая работа, зачет</w:t>
            </w:r>
          </w:p>
        </w:tc>
      </w:tr>
      <w:tr w:rsidR="00B55C82" w:rsidRPr="0056184F" w:rsidTr="00B55C82">
        <w:trPr>
          <w:jc w:val="center"/>
        </w:trPr>
        <w:tc>
          <w:tcPr>
            <w:tcW w:w="246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56184F" w:rsidRPr="0056184F" w:rsidRDefault="0056184F" w:rsidP="0056184F">
            <w:pPr>
              <w:spacing w:before="75" w:after="225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184F">
              <w:rPr>
                <w:rFonts w:eastAsia="Times New Roman"/>
                <w:color w:val="000000"/>
                <w:szCs w:val="24"/>
                <w:lang w:eastAsia="ru-RU"/>
              </w:rPr>
              <w:t>Контрольная работа</w:t>
            </w:r>
          </w:p>
        </w:tc>
      </w:tr>
    </w:tbl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4. Сроки проведения промежуточной аттестации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4.1. В Школе установлена следующая периодичность прохождения промежуточной аттестации: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- для 1 класса один раз в год в период апрель-май;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- для 2-11 классов дважды в год в периоды с 01 по 20 декабря и с 01 по 20 мая.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4.2.  Срок подачи заявления для прохождения промежуточной аттестации не позднее 01 ноября и 01 апреля текущего года.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4.3. Срок подачи заявления для прохождения государственной итоговой аттестации - до 01 февраля.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5. Требования к материалам для проведения промежуточной и итоговой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5.1.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обучения, указанному в заявлении.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5.2. Контрольно-измерительные материалы проходят экспертизу качества на методическом совете школы и последующую корректировку. Контрольно-измерительные материалы сдаются на хранение директору школы не позднее, чем за 2 недели до начала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5.3.  При проведении государственной итоговой аттестации,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6. Порядок проведения промежуточной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lastRenderedPageBreak/>
        <w:t>6.1.  Промежуточная аттестация проводится в соответствии с расписанием, утверждаемым директором школы.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6.2. Процедура промежуточной аттестации проводится в присутствии комиссии. В состав комиссии включаются: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-  председатель (директор школы, заместитель директора по УВР);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- учитель по соответствующему предмету,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- ассистент (учителя - предметники высшей или первой категории).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7.</w:t>
      </w:r>
      <w:r w:rsidR="00B55C82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56184F">
        <w:rPr>
          <w:rFonts w:eastAsia="Times New Roman"/>
          <w:b/>
          <w:color w:val="000000"/>
          <w:szCs w:val="24"/>
          <w:lang w:eastAsia="ru-RU"/>
        </w:rPr>
        <w:t>Порядок подведения итогов аттестации экстернов.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7.1. Проверка работ по промежуточной аттестации осуществляется учителем по соответствующему предмету в присутствии ассистента.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7.2. Результаты промежуточной аттестации оцениваются по пятибалльной системе.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7.3. Промежуточная аттестация считается пройденной в случае, если по всем предметам инвариантной части учебного плана экстерн получил отметку не ниже удовлетворительной.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7.4.  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Обучающиеся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>, прошедшие промежуточную аттестацию и не имеющие академическую задолженность, переводятся в следующий класс или на следующий курс.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7.5. Результаты полугодовой промежуточной аттестации фиксируются в справке установленного образца, результаты годовой промежуточной аттестации заносятся в личное дело обучающегося. Записи должны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производится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 xml:space="preserve">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7.6. Неудовлетворительные результаты промежуточной аттестации по одному или нескольким учебным предметам инвариантной части учебного плана или </w:t>
      </w:r>
      <w:proofErr w:type="spellStart"/>
      <w:r w:rsidRPr="0056184F">
        <w:rPr>
          <w:rFonts w:eastAsia="Times New Roman"/>
          <w:color w:val="000000"/>
          <w:szCs w:val="24"/>
          <w:lang w:eastAsia="ru-RU"/>
        </w:rPr>
        <w:t>непрохождение</w:t>
      </w:r>
      <w:proofErr w:type="spellEnd"/>
      <w:r w:rsidRPr="0056184F">
        <w:rPr>
          <w:rFonts w:eastAsia="Times New Roman"/>
          <w:color w:val="000000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7.7.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или на следующий курс условно.</w:t>
      </w:r>
      <w:proofErr w:type="gramEnd"/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7.8. Обучающиеся, имеющие академическую задолженность, вправе пройти промежуточную аттестацию по </w:t>
      </w:r>
      <w:proofErr w:type="gramStart"/>
      <w:r w:rsidRPr="0056184F">
        <w:rPr>
          <w:rFonts w:eastAsia="Times New Roman"/>
          <w:color w:val="000000"/>
          <w:szCs w:val="24"/>
          <w:lang w:eastAsia="ru-RU"/>
        </w:rPr>
        <w:t>соответствующим</w:t>
      </w:r>
      <w:proofErr w:type="gramEnd"/>
      <w:r w:rsidRPr="0056184F">
        <w:rPr>
          <w:rFonts w:eastAsia="Times New Roman"/>
          <w:color w:val="000000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Школой,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7.9.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lastRenderedPageBreak/>
        <w:t>7.10.  Решение    о допуске к государственной итоговой аттестации экстерна принимается педагогическим советом в установленном порядке.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7.11.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proofErr w:type="gramStart"/>
      <w:r w:rsidRPr="0056184F">
        <w:rPr>
          <w:rFonts w:eastAsia="Times New Roman"/>
          <w:color w:val="000000"/>
          <w:szCs w:val="24"/>
          <w:lang w:eastAsia="ru-RU"/>
        </w:rPr>
        <w:t>7.12.Обучающиеся,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8. Права и ответственность экстерна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8.1. Экстерны имеют право на развитие своих творческих способностей и интересов, включая участие </w:t>
      </w:r>
      <w:r w:rsidRPr="00B55C82">
        <w:rPr>
          <w:rFonts w:eastAsia="Times New Roman"/>
          <w:bCs/>
          <w:color w:val="000000"/>
          <w:szCs w:val="24"/>
          <w:lang w:eastAsia="ru-RU"/>
        </w:rPr>
        <w:t>в </w:t>
      </w:r>
      <w:r w:rsidRPr="0056184F">
        <w:rPr>
          <w:rFonts w:eastAsia="Times New Roman"/>
          <w:color w:val="000000"/>
          <w:szCs w:val="24"/>
          <w:lang w:eastAsia="ru-RU"/>
        </w:rPr>
        <w:t>конкурсах, олимпиадах, </w:t>
      </w:r>
      <w:r w:rsidRPr="00B55C82">
        <w:rPr>
          <w:rFonts w:eastAsia="Times New Roman"/>
          <w:bCs/>
          <w:color w:val="000000"/>
          <w:szCs w:val="24"/>
          <w:lang w:eastAsia="ru-RU"/>
        </w:rPr>
        <w:t>в </w:t>
      </w:r>
      <w:r w:rsidRPr="0056184F">
        <w:rPr>
          <w:rFonts w:eastAsia="Times New Roman"/>
          <w:color w:val="000000"/>
          <w:szCs w:val="24"/>
          <w:lang w:eastAsia="ru-RU"/>
        </w:rPr>
        <w:t>том числе во Всероссийской олимпиаде школьников, выставках, смотрах, физкультурных и спортивных мероприятиях, </w:t>
      </w:r>
      <w:r w:rsidRPr="00B55C82">
        <w:rPr>
          <w:rFonts w:eastAsia="Times New Roman"/>
          <w:bCs/>
          <w:color w:val="000000"/>
          <w:szCs w:val="24"/>
          <w:lang w:eastAsia="ru-RU"/>
        </w:rPr>
        <w:t>в </w:t>
      </w:r>
      <w:r w:rsidRPr="0056184F">
        <w:rPr>
          <w:rFonts w:eastAsia="Times New Roman"/>
          <w:color w:val="000000"/>
          <w:szCs w:val="24"/>
          <w:lang w:eastAsia="ru-RU"/>
        </w:rPr>
        <w:t>том числе </w:t>
      </w:r>
      <w:r w:rsidRPr="00B55C82">
        <w:rPr>
          <w:rFonts w:eastAsia="Times New Roman"/>
          <w:bCs/>
          <w:color w:val="000000"/>
          <w:szCs w:val="24"/>
          <w:lang w:eastAsia="ru-RU"/>
        </w:rPr>
        <w:t>в </w:t>
      </w:r>
      <w:r w:rsidRPr="0056184F">
        <w:rPr>
          <w:rFonts w:eastAsia="Times New Roman"/>
          <w:color w:val="000000"/>
          <w:szCs w:val="24"/>
          <w:lang w:eastAsia="ru-RU"/>
        </w:rPr>
        <w:t>официальных спортивных соревнованиях, и других массовых мероприятиях.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8.2. Ответственность за ликвидацию академической задолженности по итогам промежуточной аттестации возлагается на экстерна и его родителей (законных представителей).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jc w:val="left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9. Права и ответственность Школы по организации промежуточной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9.1. Школа  несет ответственность только за организацию и проведение промежуточной аттестации.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9.2. Школа  не несет ответственность за обучение экстерна и не проводит с ним в инициативном порядке систематических занятий.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 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b/>
          <w:color w:val="000000"/>
          <w:szCs w:val="24"/>
          <w:lang w:eastAsia="ru-RU"/>
        </w:rPr>
      </w:pPr>
      <w:r w:rsidRPr="0056184F">
        <w:rPr>
          <w:rFonts w:eastAsia="Times New Roman"/>
          <w:b/>
          <w:color w:val="000000"/>
          <w:szCs w:val="24"/>
          <w:lang w:eastAsia="ru-RU"/>
        </w:rPr>
        <w:t>10. Делопроизводство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 xml:space="preserve">10.1. Документация по аттестации лиц, проходящих промежуточную аттестацию в </w:t>
      </w:r>
      <w:r w:rsidR="00B55C82">
        <w:rPr>
          <w:rFonts w:eastAsia="Times New Roman"/>
          <w:color w:val="000000"/>
          <w:szCs w:val="24"/>
          <w:lang w:eastAsia="ru-RU"/>
        </w:rPr>
        <w:t>МА</w:t>
      </w:r>
      <w:r w:rsidRPr="0056184F">
        <w:rPr>
          <w:rFonts w:eastAsia="Times New Roman"/>
          <w:color w:val="000000"/>
          <w:szCs w:val="24"/>
          <w:lang w:eastAsia="ru-RU"/>
        </w:rPr>
        <w:t>ОУ С</w:t>
      </w:r>
      <w:r w:rsidR="00B55C82">
        <w:rPr>
          <w:rFonts w:eastAsia="Times New Roman"/>
          <w:color w:val="000000"/>
          <w:szCs w:val="24"/>
          <w:lang w:eastAsia="ru-RU"/>
        </w:rPr>
        <w:t>О</w:t>
      </w:r>
      <w:r w:rsidRPr="0056184F">
        <w:rPr>
          <w:rFonts w:eastAsia="Times New Roman"/>
          <w:color w:val="000000"/>
          <w:szCs w:val="24"/>
          <w:lang w:eastAsia="ru-RU"/>
        </w:rPr>
        <w:t xml:space="preserve">Ш № </w:t>
      </w:r>
      <w:r w:rsidR="00B55C82">
        <w:rPr>
          <w:rFonts w:eastAsia="Times New Roman"/>
          <w:color w:val="000000"/>
          <w:szCs w:val="24"/>
          <w:lang w:eastAsia="ru-RU"/>
        </w:rPr>
        <w:t>1</w:t>
      </w:r>
      <w:r w:rsidRPr="0056184F">
        <w:rPr>
          <w:rFonts w:eastAsia="Times New Roman"/>
          <w:color w:val="000000"/>
          <w:szCs w:val="24"/>
          <w:lang w:eastAsia="ru-RU"/>
        </w:rPr>
        <w:t>8 экстерном, выделяется в отдельное делопроизводство.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10.2. Оригинал протокола о прохождении промежуточной аттестации выдается родителям (законным представителям) экстерна, либо самому экстерну, копия протокола хранится в Школе.</w:t>
      </w:r>
    </w:p>
    <w:p w:rsidR="0056184F" w:rsidRPr="0056184F" w:rsidRDefault="0056184F" w:rsidP="0056184F">
      <w:pPr>
        <w:shd w:val="clear" w:color="auto" w:fill="FFFFFF"/>
        <w:spacing w:before="75" w:after="225"/>
        <w:rPr>
          <w:rFonts w:eastAsia="Times New Roman"/>
          <w:color w:val="000000"/>
          <w:szCs w:val="24"/>
          <w:lang w:eastAsia="ru-RU"/>
        </w:rPr>
      </w:pPr>
      <w:r w:rsidRPr="0056184F">
        <w:rPr>
          <w:rFonts w:eastAsia="Times New Roman"/>
          <w:color w:val="000000"/>
          <w:szCs w:val="24"/>
          <w:lang w:eastAsia="ru-RU"/>
        </w:rPr>
        <w:t>По результатам прохождения промежуточной аттестации родителям (законным представителям) либо самому экстерну выдается справка, установленного образца.</w:t>
      </w:r>
    </w:p>
    <w:p w:rsidR="00182601" w:rsidRPr="007A2D9A" w:rsidRDefault="00182601">
      <w:pPr>
        <w:rPr>
          <w:szCs w:val="24"/>
        </w:rPr>
      </w:pPr>
    </w:p>
    <w:sectPr w:rsidR="00182601" w:rsidRPr="007A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F33F5"/>
    <w:multiLevelType w:val="hybridMultilevel"/>
    <w:tmpl w:val="0EFC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2FC7"/>
    <w:multiLevelType w:val="hybridMultilevel"/>
    <w:tmpl w:val="236C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C5E60"/>
    <w:multiLevelType w:val="multilevel"/>
    <w:tmpl w:val="C49C3C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4F"/>
    <w:rsid w:val="00182601"/>
    <w:rsid w:val="001979C8"/>
    <w:rsid w:val="001B1D86"/>
    <w:rsid w:val="0056184F"/>
    <w:rsid w:val="005867A5"/>
    <w:rsid w:val="007A2D9A"/>
    <w:rsid w:val="007C1CD9"/>
    <w:rsid w:val="00A14B64"/>
    <w:rsid w:val="00B55C82"/>
    <w:rsid w:val="00E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9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qFormat/>
    <w:rsid w:val="007C1CD9"/>
    <w:pPr>
      <w:keepNext/>
      <w:keepLines/>
      <w:pageBreakBefore/>
      <w:numPr>
        <w:numId w:val="1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7C1CD9"/>
    <w:pPr>
      <w:keepNext/>
      <w:keepLines/>
      <w:numPr>
        <w:ilvl w:val="1"/>
        <w:numId w:val="1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7C1CD9"/>
    <w:pPr>
      <w:keepNext/>
      <w:keepLines/>
      <w:numPr>
        <w:ilvl w:val="2"/>
        <w:numId w:val="1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7C1CD9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7C1CD9"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7C1CD9"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CD9"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CD9"/>
    <w:pPr>
      <w:keepNext/>
      <w:keepLines/>
      <w:numPr>
        <w:ilvl w:val="7"/>
        <w:numId w:val="1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CD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1C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7C1C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7C1CD9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7C1CD9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7C1CD9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7C1CD9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rsid w:val="007C1CD9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7C1CD9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7C1CD9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7C1CD9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7C1CD9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7C1CD9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7C1CD9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7C1C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1CD9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7C1CD9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7C1CD9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7C1CD9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7C1CD9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7C1CD9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7C1CD9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qFormat/>
    <w:rsid w:val="007C1CD9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7C1CD9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7C1CD9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7C1CD9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7C1CD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7C1CD9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Normal (Web)"/>
    <w:basedOn w:val="a"/>
    <w:unhideWhenUsed/>
    <w:rsid w:val="0056184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3">
    <w:name w:val="Table Grid"/>
    <w:basedOn w:val="a1"/>
    <w:uiPriority w:val="59"/>
    <w:rsid w:val="00A1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9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qFormat/>
    <w:rsid w:val="007C1CD9"/>
    <w:pPr>
      <w:keepNext/>
      <w:keepLines/>
      <w:pageBreakBefore/>
      <w:numPr>
        <w:numId w:val="1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7C1CD9"/>
    <w:pPr>
      <w:keepNext/>
      <w:keepLines/>
      <w:numPr>
        <w:ilvl w:val="1"/>
        <w:numId w:val="1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7C1CD9"/>
    <w:pPr>
      <w:keepNext/>
      <w:keepLines/>
      <w:numPr>
        <w:ilvl w:val="2"/>
        <w:numId w:val="1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7C1CD9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7C1CD9"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7C1CD9"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CD9"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CD9"/>
    <w:pPr>
      <w:keepNext/>
      <w:keepLines/>
      <w:numPr>
        <w:ilvl w:val="7"/>
        <w:numId w:val="1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CD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1C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7C1C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7C1CD9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7C1CD9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7C1CD9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7C1CD9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rsid w:val="007C1CD9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7C1CD9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7C1CD9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7C1CD9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7C1CD9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7C1CD9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7C1CD9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7C1C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1CD9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7C1CD9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7C1CD9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7C1CD9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7C1CD9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7C1CD9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7C1CD9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qFormat/>
    <w:rsid w:val="007C1CD9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7C1CD9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7C1CD9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7C1CD9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7C1CD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7C1CD9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Normal (Web)"/>
    <w:basedOn w:val="a"/>
    <w:unhideWhenUsed/>
    <w:rsid w:val="0056184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3">
    <w:name w:val="Table Grid"/>
    <w:basedOn w:val="a1"/>
    <w:uiPriority w:val="59"/>
    <w:rsid w:val="00A1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УВР</dc:creator>
  <cp:lastModifiedBy>Зам. директора УВР</cp:lastModifiedBy>
  <cp:revision>4</cp:revision>
  <dcterms:created xsi:type="dcterms:W3CDTF">2020-05-13T05:18:00Z</dcterms:created>
  <dcterms:modified xsi:type="dcterms:W3CDTF">2020-05-28T05:05:00Z</dcterms:modified>
</cp:coreProperties>
</file>